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Политика в отношении обработки персональных данных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0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Настоящая политика в отношении обработки персональных данных (далее — Политика)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на сайте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tort-nsk.ru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(далее — Сайт).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1.1. Настоящая Политика применяется ко всей информации, которую Оператор может получить о посетителях веб-сайта tort-nsk.ru.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0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1.2.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 Цели и объем обрабатываемых персональных данных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Оператор обрабатывает персональные данные Пользователя исключительно в целях предоставления услуг и улучшения качества обслуживания. Соответствие целей и собираемых данных приведено в таблице ниже:</w:t>
      </w:r>
    </w:p>
    <w:tbl>
      <w:tblPr>
        <w:tblStyle w:val="Table1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  <w:rtl w:val="0"/>
              </w:rPr>
              <w:t xml:space="preserve">Цель обработки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  <w:rtl w:val="0"/>
              </w:rPr>
              <w:t xml:space="preserve">Категории персональных данных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3e50"/>
                <w:shd w:fill="auto" w:val="clear"/>
                <w:rtl w:val="0"/>
              </w:rPr>
              <w:t xml:space="preserve">Правовое основание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Обработка входящих запросов, консультация клиентов и прием заказов на продукцию (торты).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Имя, номер телефона, адрес электронной почты (если предоставляется).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Согласие субъекта персональных данных на обработку.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Сбор статистических данных для аналитики и улучшения работы сайта.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IP-адрес, данные файлов cookie, информация о браузере, время доступа.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3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Законный интерес Оператора по улучшению работы веб-ресурса.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соответствующее уведомление.</w:t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Права пользователя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Пользователь имеет право: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Получать информацию, касающуюся обработки его персональных данных.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Требовать от Оператора уточнения его персональных данных, их блокирования или уничтожения в случае, если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Отозвать согласие на обработку персональных данных.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5.1. Пользователь может получить любые разъяснения по интересующим вопросам, касающимся обработки его персональных данных, обратившись к Оператору по контактным данным, указанным на сайте tort-nsk.ru.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240" w:lineRule="auto"/>
    </w:pPr>
    <w:rPr>
      <w:rFonts w:ascii="Arial" w:cs="Arial" w:eastAsia="Arial" w:hAnsi="Arial"/>
      <w:b w:val="1"/>
      <w:bCs w:val="1"/>
      <w:i w:val="0"/>
      <w:iCs w:val="0"/>
      <w:color w:val="2c3e5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450" w:lineRule="auto"/>
    </w:pPr>
    <w:rPr>
      <w:rFonts w:ascii="Arial" w:cs="Arial" w:eastAsia="Arial" w:hAnsi="Arial"/>
      <w:b w:val="1"/>
      <w:bCs w:val="1"/>
      <w:i w:val="0"/>
      <w:iCs w:val="0"/>
      <w:color w:val="34495e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